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3C989" w14:textId="2C1153B7"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7E677FC8" w14:textId="2FC566CD"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639E14E3" w14:textId="43059FB6"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429444C5" w14:textId="49CCEFC5"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4D1F2084" w14:textId="56172C8F"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3E2F57D2" w14:textId="52155B8A"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3948F466" w14:textId="1865A510"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3ED4B01E" w14:textId="0E7A07D2"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0075382F" w14:textId="7A8AAED2"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2BF908EA" w14:textId="77777777"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r w:rsidRPr="00B7610D">
        <w:rPr>
          <w:rFonts w:ascii="Times New Roman" w:eastAsia="Times New Roman" w:hAnsi="Times New Roman" w:cs="Times New Roman"/>
          <w:b/>
          <w:bCs/>
          <w:color w:val="0E101A"/>
          <w:sz w:val="24"/>
          <w:szCs w:val="24"/>
        </w:rPr>
        <w:t>Septic Shock</w:t>
      </w:r>
    </w:p>
    <w:p w14:paraId="0BD7C870" w14:textId="77777777" w:rsidR="00B7610D" w:rsidRPr="007B6D42" w:rsidRDefault="00B7610D" w:rsidP="00B7610D">
      <w:pPr>
        <w:spacing w:after="0" w:line="480" w:lineRule="auto"/>
        <w:jc w:val="center"/>
        <w:rPr>
          <w:rFonts w:ascii="Times New Roman" w:eastAsia="Times New Roman" w:hAnsi="Times New Roman" w:cs="Times New Roman"/>
          <w:color w:val="0E101A"/>
          <w:sz w:val="24"/>
          <w:szCs w:val="24"/>
        </w:rPr>
      </w:pPr>
      <w:r w:rsidRPr="007B6D42">
        <w:rPr>
          <w:rFonts w:ascii="Times New Roman" w:eastAsia="Times New Roman" w:hAnsi="Times New Roman" w:cs="Times New Roman"/>
          <w:bCs/>
          <w:color w:val="0E101A"/>
          <w:sz w:val="24"/>
          <w:szCs w:val="24"/>
        </w:rPr>
        <w:t>Name</w:t>
      </w:r>
    </w:p>
    <w:p w14:paraId="70311DFB" w14:textId="77777777" w:rsidR="00B7610D" w:rsidRPr="007B6D42" w:rsidRDefault="00B7610D" w:rsidP="00B7610D">
      <w:pPr>
        <w:spacing w:after="0" w:line="480" w:lineRule="auto"/>
        <w:jc w:val="center"/>
        <w:rPr>
          <w:rFonts w:ascii="Times New Roman" w:eastAsia="Times New Roman" w:hAnsi="Times New Roman" w:cs="Times New Roman"/>
          <w:color w:val="0E101A"/>
          <w:sz w:val="24"/>
          <w:szCs w:val="24"/>
        </w:rPr>
      </w:pPr>
      <w:r w:rsidRPr="007B6D42">
        <w:rPr>
          <w:rFonts w:ascii="Times New Roman" w:eastAsia="Times New Roman" w:hAnsi="Times New Roman" w:cs="Times New Roman"/>
          <w:bCs/>
          <w:color w:val="0E101A"/>
          <w:sz w:val="24"/>
          <w:szCs w:val="24"/>
        </w:rPr>
        <w:t>Institution</w:t>
      </w:r>
    </w:p>
    <w:p w14:paraId="27580B9A" w14:textId="77777777" w:rsidR="00B7610D" w:rsidRPr="007B6D42" w:rsidRDefault="00B7610D" w:rsidP="00B7610D">
      <w:pPr>
        <w:spacing w:after="0" w:line="480" w:lineRule="auto"/>
        <w:jc w:val="center"/>
        <w:rPr>
          <w:rFonts w:ascii="Times New Roman" w:eastAsia="Times New Roman" w:hAnsi="Times New Roman" w:cs="Times New Roman"/>
          <w:color w:val="0E101A"/>
          <w:sz w:val="24"/>
          <w:szCs w:val="24"/>
        </w:rPr>
      </w:pPr>
      <w:r w:rsidRPr="007B6D42">
        <w:rPr>
          <w:rFonts w:ascii="Times New Roman" w:eastAsia="Times New Roman" w:hAnsi="Times New Roman" w:cs="Times New Roman"/>
          <w:bCs/>
          <w:color w:val="0E101A"/>
          <w:sz w:val="24"/>
          <w:szCs w:val="24"/>
        </w:rPr>
        <w:t>Date</w:t>
      </w:r>
    </w:p>
    <w:p w14:paraId="77C1D3E8" w14:textId="35619C96"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61EB57A0" w14:textId="7CC0E85A"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1C8D8824" w14:textId="0F9EB7F0"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7CAC9FF2" w14:textId="570333C0"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05810313" w14:textId="30E5241E"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415FA2A1" w14:textId="61A764CB"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0CEED335" w14:textId="6DD2AE0A"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41294E21" w14:textId="466B9DDC"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68A71277" w14:textId="2993CDE0"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6C7C4E32" w14:textId="264DD2C2"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77D0D4BD" w14:textId="129B21CA"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217E4B2D" w14:textId="646BF688"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p>
    <w:p w14:paraId="0516C236" w14:textId="77777777"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r w:rsidRPr="00B7610D">
        <w:rPr>
          <w:rFonts w:ascii="Times New Roman" w:eastAsia="Times New Roman" w:hAnsi="Times New Roman" w:cs="Times New Roman"/>
          <w:b/>
          <w:bCs/>
          <w:color w:val="0E101A"/>
          <w:sz w:val="24"/>
          <w:szCs w:val="24"/>
        </w:rPr>
        <w:lastRenderedPageBreak/>
        <w:t>Septic Shock</w:t>
      </w:r>
    </w:p>
    <w:p w14:paraId="55254252" w14:textId="2EC549AF" w:rsidR="00B7610D" w:rsidRPr="00B7610D" w:rsidRDefault="00B7610D" w:rsidP="00B7610D">
      <w:pPr>
        <w:spacing w:after="0" w:line="480" w:lineRule="auto"/>
        <w:ind w:firstLine="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 xml:space="preserve">Sepsis is a blood infection that affects and causes </w:t>
      </w:r>
      <w:r w:rsidR="009540BD" w:rsidRPr="00B7610D">
        <w:rPr>
          <w:rFonts w:ascii="Times New Roman" w:eastAsia="Times New Roman" w:hAnsi="Times New Roman" w:cs="Times New Roman"/>
          <w:color w:val="0E101A"/>
          <w:sz w:val="24"/>
          <w:szCs w:val="24"/>
        </w:rPr>
        <w:t>dysfunction</w:t>
      </w:r>
      <w:r w:rsidRPr="00B7610D">
        <w:rPr>
          <w:rFonts w:ascii="Times New Roman" w:eastAsia="Times New Roman" w:hAnsi="Times New Roman" w:cs="Times New Roman"/>
          <w:color w:val="0E101A"/>
          <w:sz w:val="24"/>
          <w:szCs w:val="24"/>
        </w:rPr>
        <w:t xml:space="preserve"> or failure of body organs like the brain, kidneys and heart. </w:t>
      </w:r>
      <w:r w:rsidR="00920ACD">
        <w:rPr>
          <w:rFonts w:ascii="Times New Roman" w:eastAsia="Times New Roman" w:hAnsi="Times New Roman" w:cs="Times New Roman"/>
          <w:color w:val="0E101A"/>
          <w:sz w:val="24"/>
          <w:szCs w:val="24"/>
        </w:rPr>
        <w:t>One of the core assessment data for a patient with sepsis is temperature. According to clinicians, a patient can be suspected to have s</w:t>
      </w:r>
      <w:r w:rsidRPr="00B7610D">
        <w:rPr>
          <w:rFonts w:ascii="Times New Roman" w:eastAsia="Times New Roman" w:hAnsi="Times New Roman" w:cs="Times New Roman"/>
          <w:color w:val="0E101A"/>
          <w:sz w:val="24"/>
          <w:szCs w:val="24"/>
        </w:rPr>
        <w:t>epsis if the body temperature is greater than 38 C or lower than 36 C. Some of the Sepsis symptoms include fatigue, discolored skin, vomiting, fast heartbeat, fever or low body temperature and diarrhea. Sepsis can be assessed through monitoring some signs such as urinal output, consciousness level and pulse (</w:t>
      </w:r>
      <w:proofErr w:type="spellStart"/>
      <w:r w:rsidRPr="00B7610D">
        <w:rPr>
          <w:rFonts w:ascii="Times New Roman" w:eastAsia="Times New Roman" w:hAnsi="Times New Roman" w:cs="Times New Roman"/>
          <w:color w:val="0E101A"/>
          <w:sz w:val="24"/>
          <w:szCs w:val="24"/>
        </w:rPr>
        <w:t>Cecconi</w:t>
      </w:r>
      <w:proofErr w:type="spellEnd"/>
      <w:r w:rsidRPr="00B7610D">
        <w:rPr>
          <w:rFonts w:ascii="Times New Roman" w:eastAsia="Times New Roman" w:hAnsi="Times New Roman" w:cs="Times New Roman"/>
          <w:color w:val="0E101A"/>
          <w:sz w:val="24"/>
          <w:szCs w:val="24"/>
        </w:rPr>
        <w:t xml:space="preserve"> et al., 2018). </w:t>
      </w:r>
    </w:p>
    <w:p w14:paraId="116E202E" w14:textId="4D62ABAC" w:rsidR="00B7610D" w:rsidRPr="00B7610D" w:rsidRDefault="00B7610D" w:rsidP="00B7610D">
      <w:pPr>
        <w:spacing w:after="0" w:line="480" w:lineRule="auto"/>
        <w:ind w:firstLine="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 xml:space="preserve">Septic shock is caused by infection of bloodstreams by microorganisms, which leads to metabolic abnormalities, an insufficient supply of oxygen and </w:t>
      </w:r>
      <w:r w:rsidR="009540BD" w:rsidRPr="00B7610D">
        <w:rPr>
          <w:rFonts w:ascii="Times New Roman" w:eastAsia="Times New Roman" w:hAnsi="Times New Roman" w:cs="Times New Roman"/>
          <w:color w:val="0E101A"/>
          <w:sz w:val="24"/>
          <w:szCs w:val="24"/>
        </w:rPr>
        <w:t>dysfunction</w:t>
      </w:r>
      <w:r w:rsidRPr="00B7610D">
        <w:rPr>
          <w:rFonts w:ascii="Times New Roman" w:eastAsia="Times New Roman" w:hAnsi="Times New Roman" w:cs="Times New Roman"/>
          <w:color w:val="0E101A"/>
          <w:sz w:val="24"/>
          <w:szCs w:val="24"/>
        </w:rPr>
        <w:t xml:space="preserve"> of body organs. If the infection is prolonged, it can cause a lot of body damage and result in death. A cellular activation causes an inflammatory response in the human body that activates endothelial and leukocytes (Font et al., 2020). Monocytes produce cytokines, such as interleukin and tumor necrosis factor-alpha, which cause an excessive inflammatory response. Other mediators, such as high-mobility group box 1, are involved in the process. The inflammatory causes tissue perfusion impairment that leads to acute organ dysfunction and may be accompanied by a programmed death of cells. Some clinical manifestations include little or no urine, a high rate for heartbeats, low blood pressure, pale arms and legs, restlessness and very low or high temperature (Font et al., 2020). </w:t>
      </w:r>
    </w:p>
    <w:p w14:paraId="48D536C3" w14:textId="77777777" w:rsidR="00B7610D" w:rsidRPr="00B7610D" w:rsidRDefault="00B7610D" w:rsidP="00B7610D">
      <w:pPr>
        <w:spacing w:after="0" w:line="480" w:lineRule="auto"/>
        <w:ind w:firstLine="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 xml:space="preserve">There are four stages involved in the development of septic shock: initial, compensatory, progressive, and refractory. In the initial stage, the body cells carry out lactic acid fermentation due to insufficient oxygen. According to </w:t>
      </w:r>
      <w:proofErr w:type="spellStart"/>
      <w:r w:rsidRPr="00B7610D">
        <w:rPr>
          <w:rFonts w:ascii="Times New Roman" w:eastAsia="Times New Roman" w:hAnsi="Times New Roman" w:cs="Times New Roman"/>
          <w:color w:val="0E101A"/>
          <w:sz w:val="24"/>
          <w:szCs w:val="24"/>
        </w:rPr>
        <w:t>Cecconi</w:t>
      </w:r>
      <w:proofErr w:type="spellEnd"/>
      <w:r w:rsidRPr="00B7610D">
        <w:rPr>
          <w:rFonts w:ascii="Times New Roman" w:eastAsia="Times New Roman" w:hAnsi="Times New Roman" w:cs="Times New Roman"/>
          <w:color w:val="0E101A"/>
          <w:sz w:val="24"/>
          <w:szCs w:val="24"/>
        </w:rPr>
        <w:t xml:space="preserve"> et al. (2018), pyruvate entry into the Krebs cycle is slowed down due to low oxygen available, leading to lactic acidosis. In the compensatory stage, the body tries to eliminate carbon dioxide, which acidifies the blood indirectly. High blood pressure occurs due to the effect of norepinephrine </w:t>
      </w:r>
      <w:r w:rsidRPr="00B7610D">
        <w:rPr>
          <w:rFonts w:ascii="Times New Roman" w:eastAsia="Times New Roman" w:hAnsi="Times New Roman" w:cs="Times New Roman"/>
          <w:color w:val="0E101A"/>
          <w:sz w:val="24"/>
          <w:szCs w:val="24"/>
        </w:rPr>
        <w:lastRenderedPageBreak/>
        <w:t>and epinephrine released and causes an increase in heart rate. The renin-angiotensin axis causes blood diversion into the brain, heart and lungs from organs such as the kidneys. The progressive stage results due to unsuccessful treatment and the failure of the compensatory mechanism. In this stage, the vital organs are more compromised due to the lack of oxygen and decreased perfusion. At the refractory stage, the critical organs fail and the shock becomes irreversible. The degradation of cellular ATP into adenosine with the lack of oxygen makes the shock irreversible. Brain damage and the death of cells occur at a higher rate, which results in death (</w:t>
      </w:r>
      <w:proofErr w:type="spellStart"/>
      <w:r w:rsidRPr="00B7610D">
        <w:rPr>
          <w:rFonts w:ascii="Times New Roman" w:eastAsia="Times New Roman" w:hAnsi="Times New Roman" w:cs="Times New Roman"/>
          <w:color w:val="0E101A"/>
          <w:sz w:val="24"/>
          <w:szCs w:val="24"/>
        </w:rPr>
        <w:t>Cecconi</w:t>
      </w:r>
      <w:proofErr w:type="spellEnd"/>
      <w:r w:rsidRPr="00B7610D">
        <w:rPr>
          <w:rFonts w:ascii="Times New Roman" w:eastAsia="Times New Roman" w:hAnsi="Times New Roman" w:cs="Times New Roman"/>
          <w:color w:val="0E101A"/>
          <w:sz w:val="24"/>
          <w:szCs w:val="24"/>
        </w:rPr>
        <w:t xml:space="preserve"> et al., 2018).</w:t>
      </w:r>
    </w:p>
    <w:p w14:paraId="36A2BD91" w14:textId="77777777" w:rsidR="00B7610D" w:rsidRPr="00B7610D" w:rsidRDefault="00B7610D" w:rsidP="00B7610D">
      <w:pPr>
        <w:spacing w:after="0" w:line="480" w:lineRule="auto"/>
        <w:ind w:firstLine="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Diagnosis of sepsis can be made through fast heartbeats, very high or low body temperatures and fast respiratory rates. Some tests such as X-ray and magnetic resonance imaging can be used to diagnose septic shock (Font et al., 2020). When these symptoms get so severe, they may lead to fatality, such as death. </w:t>
      </w:r>
    </w:p>
    <w:p w14:paraId="1C4F3EA4" w14:textId="77777777" w:rsidR="00B7610D" w:rsidRPr="00B7610D" w:rsidRDefault="00B7610D" w:rsidP="00B7610D">
      <w:pPr>
        <w:spacing w:after="0" w:line="480" w:lineRule="auto"/>
        <w:ind w:firstLine="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Individuals with sepsis need to be monitored closely and treated in a heavily equipped health care facility. Some measures such as antibiotics and vasopressors can stabilize the patient’s breathing and the heart to function. Patients need to get encouraged about their wellness because it gives them hope. </w:t>
      </w:r>
    </w:p>
    <w:p w14:paraId="2722E0B0" w14:textId="77777777" w:rsidR="00B7610D" w:rsidRPr="00B7610D" w:rsidRDefault="00B7610D" w:rsidP="00B7610D">
      <w:pPr>
        <w:spacing w:after="0" w:line="480" w:lineRule="auto"/>
        <w:ind w:firstLine="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Patients with septic shock should be monitored and be provided with the prescribed medications and IV fluids. Blood levels should also be monitored. Patients can be given antibiotics to treat septic shock. The patients should also be positioned in a semi-recumbent position elevating the head at an angle of 45 degrees. </w:t>
      </w:r>
    </w:p>
    <w:p w14:paraId="001281E1" w14:textId="3237E23C" w:rsidR="00B7610D" w:rsidRPr="00B7610D" w:rsidRDefault="00B7610D" w:rsidP="00B7610D">
      <w:pPr>
        <w:spacing w:after="0" w:line="480" w:lineRule="auto"/>
        <w:ind w:firstLine="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According to Vail et al. (2017), the interprofessional</w:t>
      </w:r>
      <w:bookmarkStart w:id="0" w:name="_GoBack"/>
      <w:bookmarkEnd w:id="0"/>
      <w:r w:rsidRPr="00B7610D">
        <w:rPr>
          <w:rFonts w:ascii="Times New Roman" w:eastAsia="Times New Roman" w:hAnsi="Times New Roman" w:cs="Times New Roman"/>
          <w:color w:val="0E101A"/>
          <w:sz w:val="24"/>
          <w:szCs w:val="24"/>
        </w:rPr>
        <w:t xml:space="preserve"> team collaborates to provided treatment to patients with severe septic shock. The patients can be administered antibiotics according to the prescriptions made by the physicians. The intensive care unit is also used in cases where the septic shock is severe. The patients also need to be monitored regularly</w:t>
      </w:r>
      <w:r w:rsidR="00921910" w:rsidRPr="00F93A77">
        <w:rPr>
          <w:rFonts w:ascii="Times New Roman" w:eastAsia="Times New Roman" w:hAnsi="Times New Roman" w:cs="Times New Roman"/>
          <w:color w:val="0E101A"/>
          <w:sz w:val="24"/>
          <w:szCs w:val="24"/>
        </w:rPr>
        <w:t xml:space="preserve"> to assess their progression or condition</w:t>
      </w:r>
      <w:r w:rsidRPr="00B7610D">
        <w:rPr>
          <w:rFonts w:ascii="Times New Roman" w:eastAsia="Times New Roman" w:hAnsi="Times New Roman" w:cs="Times New Roman"/>
          <w:color w:val="0E101A"/>
          <w:sz w:val="24"/>
          <w:szCs w:val="24"/>
        </w:rPr>
        <w:t>.</w:t>
      </w:r>
    </w:p>
    <w:p w14:paraId="7E5AAB0F" w14:textId="77777777" w:rsidR="00B7610D" w:rsidRPr="00F93A77" w:rsidRDefault="00B7610D" w:rsidP="00921910">
      <w:pPr>
        <w:spacing w:after="0" w:line="480" w:lineRule="auto"/>
        <w:rPr>
          <w:rFonts w:ascii="Times New Roman" w:eastAsia="Times New Roman" w:hAnsi="Times New Roman" w:cs="Times New Roman"/>
          <w:b/>
          <w:bCs/>
          <w:color w:val="0E101A"/>
          <w:sz w:val="24"/>
          <w:szCs w:val="24"/>
        </w:rPr>
      </w:pPr>
    </w:p>
    <w:p w14:paraId="54B24200" w14:textId="4D6A3406" w:rsidR="00B7610D" w:rsidRPr="00B7610D" w:rsidRDefault="00B7610D" w:rsidP="00B7610D">
      <w:pPr>
        <w:spacing w:after="0" w:line="480" w:lineRule="auto"/>
        <w:jc w:val="center"/>
        <w:rPr>
          <w:rFonts w:ascii="Times New Roman" w:eastAsia="Times New Roman" w:hAnsi="Times New Roman" w:cs="Times New Roman"/>
          <w:color w:val="0E101A"/>
          <w:sz w:val="24"/>
          <w:szCs w:val="24"/>
        </w:rPr>
      </w:pPr>
      <w:r w:rsidRPr="00B7610D">
        <w:rPr>
          <w:rFonts w:ascii="Times New Roman" w:eastAsia="Times New Roman" w:hAnsi="Times New Roman" w:cs="Times New Roman"/>
          <w:b/>
          <w:bCs/>
          <w:color w:val="0E101A"/>
          <w:sz w:val="24"/>
          <w:szCs w:val="24"/>
        </w:rPr>
        <w:t>References</w:t>
      </w:r>
    </w:p>
    <w:p w14:paraId="559AD171" w14:textId="77777777" w:rsidR="00B7610D" w:rsidRPr="00B7610D" w:rsidRDefault="00B7610D" w:rsidP="00B7610D">
      <w:pPr>
        <w:spacing w:after="0" w:line="480" w:lineRule="auto"/>
        <w:ind w:left="720" w:hanging="720"/>
        <w:rPr>
          <w:rFonts w:ascii="Times New Roman" w:eastAsia="Times New Roman" w:hAnsi="Times New Roman" w:cs="Times New Roman"/>
          <w:color w:val="0E101A"/>
          <w:sz w:val="24"/>
          <w:szCs w:val="24"/>
        </w:rPr>
      </w:pPr>
      <w:proofErr w:type="spellStart"/>
      <w:r w:rsidRPr="00B7610D">
        <w:rPr>
          <w:rFonts w:ascii="Times New Roman" w:eastAsia="Times New Roman" w:hAnsi="Times New Roman" w:cs="Times New Roman"/>
          <w:color w:val="0E101A"/>
          <w:sz w:val="24"/>
          <w:szCs w:val="24"/>
        </w:rPr>
        <w:t>Cecconi</w:t>
      </w:r>
      <w:proofErr w:type="spellEnd"/>
      <w:r w:rsidRPr="00B7610D">
        <w:rPr>
          <w:rFonts w:ascii="Times New Roman" w:eastAsia="Times New Roman" w:hAnsi="Times New Roman" w:cs="Times New Roman"/>
          <w:color w:val="0E101A"/>
          <w:sz w:val="24"/>
          <w:szCs w:val="24"/>
        </w:rPr>
        <w:t>, M., Evans, L., Levy, M., &amp; Rhodes, A. (2018). Sepsis and septic shock. </w:t>
      </w:r>
      <w:r w:rsidRPr="00B7610D">
        <w:rPr>
          <w:rFonts w:ascii="Times New Roman" w:eastAsia="Times New Roman" w:hAnsi="Times New Roman" w:cs="Times New Roman"/>
          <w:i/>
          <w:iCs/>
          <w:color w:val="0E101A"/>
          <w:sz w:val="24"/>
          <w:szCs w:val="24"/>
        </w:rPr>
        <w:t>The Lancet</w:t>
      </w:r>
      <w:r w:rsidRPr="00B7610D">
        <w:rPr>
          <w:rFonts w:ascii="Times New Roman" w:eastAsia="Times New Roman" w:hAnsi="Times New Roman" w:cs="Times New Roman"/>
          <w:color w:val="0E101A"/>
          <w:sz w:val="24"/>
          <w:szCs w:val="24"/>
        </w:rPr>
        <w:t>, </w:t>
      </w:r>
      <w:r w:rsidRPr="00B7610D">
        <w:rPr>
          <w:rFonts w:ascii="Times New Roman" w:eastAsia="Times New Roman" w:hAnsi="Times New Roman" w:cs="Times New Roman"/>
          <w:i/>
          <w:iCs/>
          <w:color w:val="0E101A"/>
          <w:sz w:val="24"/>
          <w:szCs w:val="24"/>
        </w:rPr>
        <w:t>392</w:t>
      </w:r>
      <w:r w:rsidRPr="00B7610D">
        <w:rPr>
          <w:rFonts w:ascii="Times New Roman" w:eastAsia="Times New Roman" w:hAnsi="Times New Roman" w:cs="Times New Roman"/>
          <w:color w:val="0E101A"/>
          <w:sz w:val="24"/>
          <w:szCs w:val="24"/>
        </w:rPr>
        <w:t>(10141), 75-87.</w:t>
      </w:r>
    </w:p>
    <w:p w14:paraId="2F61B4EB" w14:textId="77777777" w:rsidR="00B7610D" w:rsidRPr="00B7610D" w:rsidRDefault="00B7610D" w:rsidP="00B7610D">
      <w:pPr>
        <w:spacing w:after="0" w:line="480" w:lineRule="auto"/>
        <w:ind w:left="720" w:hanging="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 xml:space="preserve">Font, M. D., </w:t>
      </w:r>
      <w:proofErr w:type="spellStart"/>
      <w:r w:rsidRPr="00B7610D">
        <w:rPr>
          <w:rFonts w:ascii="Times New Roman" w:eastAsia="Times New Roman" w:hAnsi="Times New Roman" w:cs="Times New Roman"/>
          <w:color w:val="0E101A"/>
          <w:sz w:val="24"/>
          <w:szCs w:val="24"/>
        </w:rPr>
        <w:t>Thyagarajan</w:t>
      </w:r>
      <w:proofErr w:type="spellEnd"/>
      <w:r w:rsidRPr="00B7610D">
        <w:rPr>
          <w:rFonts w:ascii="Times New Roman" w:eastAsia="Times New Roman" w:hAnsi="Times New Roman" w:cs="Times New Roman"/>
          <w:color w:val="0E101A"/>
          <w:sz w:val="24"/>
          <w:szCs w:val="24"/>
        </w:rPr>
        <w:t>, B., &amp; Khanna, A. K. (2020). Sepsis and Septic Shock–Basics of diagnosis, pathophysiology and clinical decision making. </w:t>
      </w:r>
      <w:r w:rsidRPr="00B7610D">
        <w:rPr>
          <w:rFonts w:ascii="Times New Roman" w:eastAsia="Times New Roman" w:hAnsi="Times New Roman" w:cs="Times New Roman"/>
          <w:i/>
          <w:iCs/>
          <w:color w:val="0E101A"/>
          <w:sz w:val="24"/>
          <w:szCs w:val="24"/>
        </w:rPr>
        <w:t>Medical Clinics</w:t>
      </w:r>
      <w:r w:rsidRPr="00B7610D">
        <w:rPr>
          <w:rFonts w:ascii="Times New Roman" w:eastAsia="Times New Roman" w:hAnsi="Times New Roman" w:cs="Times New Roman"/>
          <w:color w:val="0E101A"/>
          <w:sz w:val="24"/>
          <w:szCs w:val="24"/>
        </w:rPr>
        <w:t>, </w:t>
      </w:r>
      <w:r w:rsidRPr="00B7610D">
        <w:rPr>
          <w:rFonts w:ascii="Times New Roman" w:eastAsia="Times New Roman" w:hAnsi="Times New Roman" w:cs="Times New Roman"/>
          <w:i/>
          <w:iCs/>
          <w:color w:val="0E101A"/>
          <w:sz w:val="24"/>
          <w:szCs w:val="24"/>
        </w:rPr>
        <w:t>104</w:t>
      </w:r>
      <w:r w:rsidRPr="00B7610D">
        <w:rPr>
          <w:rFonts w:ascii="Times New Roman" w:eastAsia="Times New Roman" w:hAnsi="Times New Roman" w:cs="Times New Roman"/>
          <w:color w:val="0E101A"/>
          <w:sz w:val="24"/>
          <w:szCs w:val="24"/>
        </w:rPr>
        <w:t>(4), 573-585.</w:t>
      </w:r>
    </w:p>
    <w:p w14:paraId="52665F2E" w14:textId="77777777" w:rsidR="00B7610D" w:rsidRPr="00B7610D" w:rsidRDefault="00B7610D" w:rsidP="00B7610D">
      <w:pPr>
        <w:spacing w:after="0" w:line="480" w:lineRule="auto"/>
        <w:ind w:left="720" w:hanging="720"/>
        <w:rPr>
          <w:rFonts w:ascii="Times New Roman" w:eastAsia="Times New Roman" w:hAnsi="Times New Roman" w:cs="Times New Roman"/>
          <w:color w:val="0E101A"/>
          <w:sz w:val="24"/>
          <w:szCs w:val="24"/>
        </w:rPr>
      </w:pPr>
      <w:r w:rsidRPr="00B7610D">
        <w:rPr>
          <w:rFonts w:ascii="Times New Roman" w:eastAsia="Times New Roman" w:hAnsi="Times New Roman" w:cs="Times New Roman"/>
          <w:color w:val="0E101A"/>
          <w:sz w:val="24"/>
          <w:szCs w:val="24"/>
        </w:rPr>
        <w:t xml:space="preserve">Vail, E., </w:t>
      </w:r>
      <w:proofErr w:type="spellStart"/>
      <w:r w:rsidRPr="00B7610D">
        <w:rPr>
          <w:rFonts w:ascii="Times New Roman" w:eastAsia="Times New Roman" w:hAnsi="Times New Roman" w:cs="Times New Roman"/>
          <w:color w:val="0E101A"/>
          <w:sz w:val="24"/>
          <w:szCs w:val="24"/>
        </w:rPr>
        <w:t>Gershengorn</w:t>
      </w:r>
      <w:proofErr w:type="spellEnd"/>
      <w:r w:rsidRPr="00B7610D">
        <w:rPr>
          <w:rFonts w:ascii="Times New Roman" w:eastAsia="Times New Roman" w:hAnsi="Times New Roman" w:cs="Times New Roman"/>
          <w:color w:val="0E101A"/>
          <w:sz w:val="24"/>
          <w:szCs w:val="24"/>
        </w:rPr>
        <w:t xml:space="preserve">, H. B., Hua, M., </w:t>
      </w:r>
      <w:proofErr w:type="spellStart"/>
      <w:r w:rsidRPr="00B7610D">
        <w:rPr>
          <w:rFonts w:ascii="Times New Roman" w:eastAsia="Times New Roman" w:hAnsi="Times New Roman" w:cs="Times New Roman"/>
          <w:color w:val="0E101A"/>
          <w:sz w:val="24"/>
          <w:szCs w:val="24"/>
        </w:rPr>
        <w:t>Walkey</w:t>
      </w:r>
      <w:proofErr w:type="spellEnd"/>
      <w:r w:rsidRPr="00B7610D">
        <w:rPr>
          <w:rFonts w:ascii="Times New Roman" w:eastAsia="Times New Roman" w:hAnsi="Times New Roman" w:cs="Times New Roman"/>
          <w:color w:val="0E101A"/>
          <w:sz w:val="24"/>
          <w:szCs w:val="24"/>
        </w:rPr>
        <w:t xml:space="preserve">, A. J., </w:t>
      </w:r>
      <w:proofErr w:type="spellStart"/>
      <w:r w:rsidRPr="00B7610D">
        <w:rPr>
          <w:rFonts w:ascii="Times New Roman" w:eastAsia="Times New Roman" w:hAnsi="Times New Roman" w:cs="Times New Roman"/>
          <w:color w:val="0E101A"/>
          <w:sz w:val="24"/>
          <w:szCs w:val="24"/>
        </w:rPr>
        <w:t>Rubenfeld</w:t>
      </w:r>
      <w:proofErr w:type="spellEnd"/>
      <w:r w:rsidRPr="00B7610D">
        <w:rPr>
          <w:rFonts w:ascii="Times New Roman" w:eastAsia="Times New Roman" w:hAnsi="Times New Roman" w:cs="Times New Roman"/>
          <w:color w:val="0E101A"/>
          <w:sz w:val="24"/>
          <w:szCs w:val="24"/>
        </w:rPr>
        <w:t xml:space="preserve">, G., &amp; </w:t>
      </w:r>
      <w:proofErr w:type="spellStart"/>
      <w:r w:rsidRPr="00B7610D">
        <w:rPr>
          <w:rFonts w:ascii="Times New Roman" w:eastAsia="Times New Roman" w:hAnsi="Times New Roman" w:cs="Times New Roman"/>
          <w:color w:val="0E101A"/>
          <w:sz w:val="24"/>
          <w:szCs w:val="24"/>
        </w:rPr>
        <w:t>Wunsch</w:t>
      </w:r>
      <w:proofErr w:type="spellEnd"/>
      <w:r w:rsidRPr="00B7610D">
        <w:rPr>
          <w:rFonts w:ascii="Times New Roman" w:eastAsia="Times New Roman" w:hAnsi="Times New Roman" w:cs="Times New Roman"/>
          <w:color w:val="0E101A"/>
          <w:sz w:val="24"/>
          <w:szCs w:val="24"/>
        </w:rPr>
        <w:t>, H. (2017). Association between US norepinephrine shortage and mortality among patients with septic shock. </w:t>
      </w:r>
      <w:proofErr w:type="spellStart"/>
      <w:r w:rsidRPr="00B7610D">
        <w:rPr>
          <w:rFonts w:ascii="Times New Roman" w:eastAsia="Times New Roman" w:hAnsi="Times New Roman" w:cs="Times New Roman"/>
          <w:i/>
          <w:iCs/>
          <w:color w:val="0E101A"/>
          <w:sz w:val="24"/>
          <w:szCs w:val="24"/>
        </w:rPr>
        <w:t>Jama</w:t>
      </w:r>
      <w:proofErr w:type="spellEnd"/>
      <w:r w:rsidRPr="00B7610D">
        <w:rPr>
          <w:rFonts w:ascii="Times New Roman" w:eastAsia="Times New Roman" w:hAnsi="Times New Roman" w:cs="Times New Roman"/>
          <w:color w:val="0E101A"/>
          <w:sz w:val="24"/>
          <w:szCs w:val="24"/>
        </w:rPr>
        <w:t>, </w:t>
      </w:r>
      <w:r w:rsidRPr="00B7610D">
        <w:rPr>
          <w:rFonts w:ascii="Times New Roman" w:eastAsia="Times New Roman" w:hAnsi="Times New Roman" w:cs="Times New Roman"/>
          <w:i/>
          <w:iCs/>
          <w:color w:val="0E101A"/>
          <w:sz w:val="24"/>
          <w:szCs w:val="24"/>
        </w:rPr>
        <w:t>317</w:t>
      </w:r>
      <w:r w:rsidRPr="00B7610D">
        <w:rPr>
          <w:rFonts w:ascii="Times New Roman" w:eastAsia="Times New Roman" w:hAnsi="Times New Roman" w:cs="Times New Roman"/>
          <w:color w:val="0E101A"/>
          <w:sz w:val="24"/>
          <w:szCs w:val="24"/>
        </w:rPr>
        <w:t>(14), 1433-1442.</w:t>
      </w:r>
    </w:p>
    <w:p w14:paraId="762A96EC" w14:textId="77777777" w:rsidR="00CF5716" w:rsidRPr="00F93A77" w:rsidRDefault="00CF5716" w:rsidP="00B7610D">
      <w:pPr>
        <w:spacing w:line="480" w:lineRule="auto"/>
      </w:pPr>
    </w:p>
    <w:sectPr w:rsidR="00CF5716" w:rsidRPr="00F93A77">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07533" w14:textId="77777777" w:rsidR="00274BCC" w:rsidRDefault="00274BCC" w:rsidP="00745971">
      <w:pPr>
        <w:spacing w:after="0" w:line="240" w:lineRule="auto"/>
      </w:pPr>
      <w:r>
        <w:separator/>
      </w:r>
    </w:p>
  </w:endnote>
  <w:endnote w:type="continuationSeparator" w:id="0">
    <w:p w14:paraId="272E792D" w14:textId="77777777" w:rsidR="00274BCC" w:rsidRDefault="00274BCC" w:rsidP="00745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7593D" w14:textId="77777777" w:rsidR="00274BCC" w:rsidRDefault="00274BCC" w:rsidP="00745971">
      <w:pPr>
        <w:spacing w:after="0" w:line="240" w:lineRule="auto"/>
      </w:pPr>
      <w:r>
        <w:separator/>
      </w:r>
    </w:p>
  </w:footnote>
  <w:footnote w:type="continuationSeparator" w:id="0">
    <w:p w14:paraId="26E7A38E" w14:textId="77777777" w:rsidR="00274BCC" w:rsidRDefault="00274BCC" w:rsidP="007459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883063"/>
      <w:docPartObj>
        <w:docPartGallery w:val="Page Numbers (Top of Page)"/>
        <w:docPartUnique/>
      </w:docPartObj>
    </w:sdtPr>
    <w:sdtEndPr>
      <w:rPr>
        <w:rFonts w:ascii="Times New Roman" w:hAnsi="Times New Roman" w:cs="Times New Roman"/>
        <w:noProof/>
        <w:sz w:val="24"/>
        <w:szCs w:val="24"/>
      </w:rPr>
    </w:sdtEndPr>
    <w:sdtContent>
      <w:p w14:paraId="4E941904" w14:textId="1F8FA27D" w:rsidR="00745971" w:rsidRPr="00745971" w:rsidRDefault="00745971">
        <w:pPr>
          <w:pStyle w:val="Header"/>
          <w:jc w:val="right"/>
          <w:rPr>
            <w:rFonts w:ascii="Times New Roman" w:hAnsi="Times New Roman" w:cs="Times New Roman"/>
            <w:sz w:val="24"/>
            <w:szCs w:val="24"/>
          </w:rPr>
        </w:pPr>
        <w:r w:rsidRPr="00745971">
          <w:rPr>
            <w:rFonts w:ascii="Times New Roman" w:hAnsi="Times New Roman" w:cs="Times New Roman"/>
            <w:sz w:val="24"/>
            <w:szCs w:val="24"/>
          </w:rPr>
          <w:fldChar w:fldCharType="begin"/>
        </w:r>
        <w:r w:rsidRPr="00745971">
          <w:rPr>
            <w:rFonts w:ascii="Times New Roman" w:hAnsi="Times New Roman" w:cs="Times New Roman"/>
            <w:sz w:val="24"/>
            <w:szCs w:val="24"/>
          </w:rPr>
          <w:instrText xml:space="preserve"> PAGE   \* MERGEFORMAT </w:instrText>
        </w:r>
        <w:r w:rsidRPr="00745971">
          <w:rPr>
            <w:rFonts w:ascii="Times New Roman" w:hAnsi="Times New Roman" w:cs="Times New Roman"/>
            <w:sz w:val="24"/>
            <w:szCs w:val="24"/>
          </w:rPr>
          <w:fldChar w:fldCharType="separate"/>
        </w:r>
        <w:r w:rsidR="00DF657B">
          <w:rPr>
            <w:rFonts w:ascii="Times New Roman" w:hAnsi="Times New Roman" w:cs="Times New Roman"/>
            <w:noProof/>
            <w:sz w:val="24"/>
            <w:szCs w:val="24"/>
          </w:rPr>
          <w:t>4</w:t>
        </w:r>
        <w:r w:rsidRPr="00745971">
          <w:rPr>
            <w:rFonts w:ascii="Times New Roman" w:hAnsi="Times New Roman" w:cs="Times New Roman"/>
            <w:noProof/>
            <w:sz w:val="24"/>
            <w:szCs w:val="24"/>
          </w:rPr>
          <w:fldChar w:fldCharType="end"/>
        </w:r>
      </w:p>
    </w:sdtContent>
  </w:sdt>
  <w:p w14:paraId="65AC3D45" w14:textId="77777777" w:rsidR="00745971" w:rsidRDefault="007459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971"/>
    <w:rsid w:val="00045E7B"/>
    <w:rsid w:val="00054994"/>
    <w:rsid w:val="00072B8D"/>
    <w:rsid w:val="0008718C"/>
    <w:rsid w:val="000A065B"/>
    <w:rsid w:val="0017482C"/>
    <w:rsid w:val="00180424"/>
    <w:rsid w:val="001C6BB5"/>
    <w:rsid w:val="00200C72"/>
    <w:rsid w:val="00274BCC"/>
    <w:rsid w:val="002C2A98"/>
    <w:rsid w:val="00301842"/>
    <w:rsid w:val="003414B8"/>
    <w:rsid w:val="00460558"/>
    <w:rsid w:val="00491C9E"/>
    <w:rsid w:val="004A3500"/>
    <w:rsid w:val="004A5C18"/>
    <w:rsid w:val="00526A10"/>
    <w:rsid w:val="00540BF0"/>
    <w:rsid w:val="00560D19"/>
    <w:rsid w:val="00570E2E"/>
    <w:rsid w:val="005A1D84"/>
    <w:rsid w:val="005B2817"/>
    <w:rsid w:val="005D5EE1"/>
    <w:rsid w:val="005E1953"/>
    <w:rsid w:val="005F2082"/>
    <w:rsid w:val="00600443"/>
    <w:rsid w:val="006437B3"/>
    <w:rsid w:val="00657381"/>
    <w:rsid w:val="00712C33"/>
    <w:rsid w:val="0071551D"/>
    <w:rsid w:val="00716CB4"/>
    <w:rsid w:val="00745971"/>
    <w:rsid w:val="007512F9"/>
    <w:rsid w:val="00773D44"/>
    <w:rsid w:val="007B0485"/>
    <w:rsid w:val="007B6D42"/>
    <w:rsid w:val="007C70D9"/>
    <w:rsid w:val="008A2E15"/>
    <w:rsid w:val="00920ACD"/>
    <w:rsid w:val="00921910"/>
    <w:rsid w:val="00952CEB"/>
    <w:rsid w:val="009540BD"/>
    <w:rsid w:val="00A51EBE"/>
    <w:rsid w:val="00A5667B"/>
    <w:rsid w:val="00A767CA"/>
    <w:rsid w:val="00A820AB"/>
    <w:rsid w:val="00AE5B46"/>
    <w:rsid w:val="00AF6E4D"/>
    <w:rsid w:val="00B40CE9"/>
    <w:rsid w:val="00B7610D"/>
    <w:rsid w:val="00B83B4F"/>
    <w:rsid w:val="00BA15C9"/>
    <w:rsid w:val="00BF166E"/>
    <w:rsid w:val="00C27CD2"/>
    <w:rsid w:val="00C36FB7"/>
    <w:rsid w:val="00C43B21"/>
    <w:rsid w:val="00C5257C"/>
    <w:rsid w:val="00C6368B"/>
    <w:rsid w:val="00C83905"/>
    <w:rsid w:val="00CA76AA"/>
    <w:rsid w:val="00CF108E"/>
    <w:rsid w:val="00CF5716"/>
    <w:rsid w:val="00D45326"/>
    <w:rsid w:val="00D76BEC"/>
    <w:rsid w:val="00D90FD3"/>
    <w:rsid w:val="00DA41A8"/>
    <w:rsid w:val="00DA5BB3"/>
    <w:rsid w:val="00DF657B"/>
    <w:rsid w:val="00E63391"/>
    <w:rsid w:val="00E82747"/>
    <w:rsid w:val="00F10B72"/>
    <w:rsid w:val="00F355C1"/>
    <w:rsid w:val="00F66AF4"/>
    <w:rsid w:val="00F811E2"/>
    <w:rsid w:val="00F93A77"/>
    <w:rsid w:val="00FD2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1294"/>
  <w15:chartTrackingRefBased/>
  <w15:docId w15:val="{A10373BD-E357-4BDC-8759-32BFF529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5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971"/>
  </w:style>
  <w:style w:type="paragraph" w:styleId="Footer">
    <w:name w:val="footer"/>
    <w:basedOn w:val="Normal"/>
    <w:link w:val="FooterChar"/>
    <w:uiPriority w:val="99"/>
    <w:unhideWhenUsed/>
    <w:rsid w:val="007459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971"/>
  </w:style>
  <w:style w:type="paragraph" w:styleId="NormalWeb">
    <w:name w:val="Normal (Web)"/>
    <w:basedOn w:val="Normal"/>
    <w:uiPriority w:val="99"/>
    <w:unhideWhenUsed/>
    <w:rsid w:val="00AE5B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5B46"/>
    <w:rPr>
      <w:b/>
      <w:bCs/>
    </w:rPr>
  </w:style>
  <w:style w:type="character" w:styleId="Emphasis">
    <w:name w:val="Emphasis"/>
    <w:basedOn w:val="DefaultParagraphFont"/>
    <w:uiPriority w:val="20"/>
    <w:qFormat/>
    <w:rsid w:val="00B761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268924">
      <w:bodyDiv w:val="1"/>
      <w:marLeft w:val="0"/>
      <w:marRight w:val="0"/>
      <w:marTop w:val="0"/>
      <w:marBottom w:val="0"/>
      <w:divBdr>
        <w:top w:val="none" w:sz="0" w:space="0" w:color="auto"/>
        <w:left w:val="none" w:sz="0" w:space="0" w:color="auto"/>
        <w:bottom w:val="none" w:sz="0" w:space="0" w:color="auto"/>
        <w:right w:val="none" w:sz="0" w:space="0" w:color="auto"/>
      </w:divBdr>
    </w:div>
    <w:div w:id="162773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5</cp:revision>
  <dcterms:created xsi:type="dcterms:W3CDTF">2021-07-28T21:28:00Z</dcterms:created>
  <dcterms:modified xsi:type="dcterms:W3CDTF">2021-07-28T21:32:00Z</dcterms:modified>
</cp:coreProperties>
</file>